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Regulamin</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„Zawodowa Liga Logistyków Zespołu Szkół” </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360" w:lineRule="auto"/>
        <w:ind w:firstLine="36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Konkurs  „Zawodowa Liga Logistyków Zespołu Szkół”  adresowany jest do wszystkich uczniów, którzy kształcą się w zawodzie technik logistyk i chcieliby poszerzyć swoje kompetencje zawodowe w zakresie nauczanego przedmiotu. „Zawodowa Liga Logistyków” to rozgrywki, utworzone na wzór dyscyplin sportowych, które mają na celu wyłonienie najbardziej operatywnych i najlepszych uczniów kształcących się w zawodzie technik logistyk w Zespole Szkół im. gen. Wł. Sikorskiego w Rudniku nad Sanem. </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360" w:lineRule="auto"/>
        <w:ind w:firstLine="36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„Zawodowa Liga Logistyków” to rozgrywki, których celem jest lepsze przygotowanie uczniów do egzaminów zawodowych poprzez rywalizację, promowanie odpowiednich postaw, jak również rozwijanie uzdolnień uczniów oraz wykorzystanie ich predyspozycji logistycznych do planowania dalszej kariery związanej z  branżą TSL na wyższym szczeblu nauki. Konkurs ma również na celu podniesienie kompetencji uczniów w obszarze logistyki, transportu, spedycji i łańcucha dostaw. </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360" w:lineRule="auto"/>
        <w:ind w:firstLine="360"/>
        <w:jc w:val="both"/>
        <w:rPr>
          <w:rFonts w:ascii="Times New Roman" w:cs="Times New Roman" w:eastAsia="Times New Roman" w:hAnsi="Times New Roman"/>
          <w:smallCaps w:val="0"/>
          <w:color w:val="000000"/>
          <w:sz w:val="24"/>
          <w:szCs w:val="24"/>
          <w:shd w:fill="auto" w:val="clear"/>
        </w:rPr>
      </w:pPr>
      <w:r w:rsidDel="00000000" w:rsidR="00000000" w:rsidRPr="00000000">
        <w:rPr>
          <w:rFonts w:ascii="Times New Roman" w:cs="Times New Roman" w:eastAsia="Times New Roman" w:hAnsi="Times New Roman"/>
          <w:smallCaps w:val="0"/>
          <w:sz w:val="24"/>
          <w:szCs w:val="24"/>
          <w:rtl w:val="0"/>
        </w:rPr>
        <w:t xml:space="preserve">  Uczniowie będą spotykali się raz lub dwa razy w miesiącu  w terminie wyznaczonym przez inicjatora konkursu. W czasie każdego spotkania uczniowie w czasie 30 minut będą mieli do rozwiązania 20 zadań teoretycznych i 2 krótkich zadań/ problemów praktycznych. Każde poprawnie rozwiązane zadanie teoretyczne przyniesie uczestnikowi 1 punkt . Każde poprawnie rozwiązane zadanie praktyczne przyniesie 5 punktów.  Punkty z każdego spotkania miesiąca u każdego ucznia sumują się. Wygrywa ten uczeń, który zgromadził najwięcej punktów w okresie  trwania rozgrywek tj. od września do czerwca włącznie. </w:t>
      </w:r>
      <w:r w:rsidDel="00000000" w:rsidR="00000000" w:rsidRPr="00000000">
        <w:rPr>
          <w:rFonts w:ascii="Times New Roman" w:cs="Times New Roman" w:eastAsia="Times New Roman" w:hAnsi="Times New Roman"/>
          <w:smallCaps w:val="0"/>
          <w:color w:val="000000"/>
          <w:sz w:val="24"/>
          <w:szCs w:val="24"/>
          <w:shd w:fill="auto" w:val="clear"/>
          <w:rtl w:val="0"/>
        </w:rPr>
        <w:t xml:space="preserve"> Korzystanie z pomocy naukowych takich jak źródła internetowe, telefon itp. jest zabronione. W przypadku stwierdzenia niesamodzielności pracy anulowane są wszystkie punkty. Po rozwiązaniu zadań konkursowych inicjator konkursu zobowiązuje się do zapoznania uczniów z wynikami do 7 dni. </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360" w:lineRule="auto"/>
        <w:ind w:firstLine="36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Zadania konkursowe będą przeprowadzane w Pracowni logistyki W 3 lub ze względu na dużą liczbę chętnych mogą zostać przeniesione do innej sali, o czym biorący udział w „rozgrywkach” zostaną poinformowani na grupie na Messangerze lub w innej formie. Nad prawidłowym przebiegiem rozgrywek czuwał będzie inicjator przedsięwzięcia z innym wybranym  nauczycielem .  </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360" w:lineRule="auto"/>
        <w:ind w:firstLine="36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Ci uczniowie, którzy zdobędą największą ilość punktów w okresie od września – czerwca włącznie, mogą liczyć na atrakcyjne nagrody rzeczowe, które na koniec rozgrywek ufunduje i wręczy Dyrektor Szkoły! </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360" w:lineRule="auto"/>
        <w:ind w:firstLine="36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Sławomir Konior </w:t>
      </w:r>
    </w:p>
    <w:sectPr>
      <w:pgSz w:h="16838" w:w="11906" w:orient="portrait"/>
      <w:pgMar w:bottom="1417"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YUQTSjXOyqNf2gWJcmMo2Psa0A==">AMUW2mXuzrdkCoZKa69+vYbKoCNDjmlDECClwyTTPNHS/sTBqO5XhD/BjTge2iHgSLf1DJvYN19vD+OPm7oOmGWr+UTC3jmerRAQMykpHHdnfGwsLgidRBQ=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